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EF" w:rsidRPr="00B11BEF" w:rsidRDefault="00B11BEF" w:rsidP="00346F5B">
      <w:pPr>
        <w:pStyle w:val="Paragraph"/>
        <w:ind w:firstLine="0"/>
        <w:jc w:val="center"/>
        <w:rPr>
          <w:b/>
          <w:sz w:val="30"/>
          <w:szCs w:val="30"/>
        </w:rPr>
      </w:pPr>
      <w:r w:rsidRPr="00B11BEF">
        <w:rPr>
          <w:rFonts w:eastAsia="Malgun Gothic"/>
          <w:b/>
          <w:sz w:val="30"/>
          <w:szCs w:val="30"/>
          <w:lang w:eastAsia="ko-KR"/>
        </w:rPr>
        <w:t>Control</w:t>
      </w:r>
      <w:r w:rsidRPr="00B11BEF">
        <w:rPr>
          <w:rFonts w:eastAsia="Malgun Gothic" w:hint="eastAsia"/>
          <w:b/>
          <w:sz w:val="30"/>
          <w:szCs w:val="30"/>
          <w:lang w:eastAsia="ko-KR"/>
        </w:rPr>
        <w:t>ling</w:t>
      </w:r>
      <w:r w:rsidRPr="00B11BEF">
        <w:rPr>
          <w:rFonts w:eastAsia="Malgun Gothic"/>
          <w:b/>
          <w:sz w:val="30"/>
          <w:szCs w:val="30"/>
          <w:lang w:eastAsia="ko-KR"/>
        </w:rPr>
        <w:t xml:space="preserve"> phases in epitaxial </w:t>
      </w:r>
      <w:r w:rsidR="00346F5B">
        <w:rPr>
          <w:rFonts w:eastAsia="Malgun Gothic" w:hint="eastAsia"/>
          <w:b/>
          <w:sz w:val="30"/>
          <w:szCs w:val="30"/>
          <w:lang w:eastAsia="ko-KR"/>
        </w:rPr>
        <w:t xml:space="preserve">complex </w:t>
      </w:r>
      <w:r w:rsidRPr="00B11BEF">
        <w:rPr>
          <w:rFonts w:eastAsia="Malgun Gothic"/>
          <w:b/>
          <w:sz w:val="30"/>
          <w:szCs w:val="30"/>
          <w:lang w:eastAsia="ko-KR"/>
        </w:rPr>
        <w:t>oxide thin films</w:t>
      </w:r>
      <w:r w:rsidR="00346F5B">
        <w:rPr>
          <w:rFonts w:eastAsia="Malgun Gothic" w:hint="eastAsia"/>
          <w:b/>
          <w:sz w:val="30"/>
          <w:szCs w:val="30"/>
          <w:lang w:eastAsia="ko-KR"/>
        </w:rPr>
        <w:t xml:space="preserve"> via r</w:t>
      </w:r>
      <w:r w:rsidR="00346F5B" w:rsidRPr="00346F5B">
        <w:rPr>
          <w:rFonts w:eastAsia="Malgun Gothic"/>
          <w:b/>
          <w:sz w:val="30"/>
          <w:szCs w:val="30"/>
          <w:lang w:eastAsia="ko-KR"/>
        </w:rPr>
        <w:t>edox reactions</w:t>
      </w:r>
    </w:p>
    <w:p w:rsidR="003C0C2C" w:rsidRPr="00A25554" w:rsidRDefault="003C0C2C" w:rsidP="00BD1BC1">
      <w:pPr>
        <w:jc w:val="center"/>
        <w:rPr>
          <w:b/>
          <w:sz w:val="28"/>
          <w:szCs w:val="28"/>
          <w:lang w:eastAsia="ko-KR"/>
        </w:rPr>
      </w:pPr>
    </w:p>
    <w:p w:rsidR="00D50C1B" w:rsidRDefault="00400646" w:rsidP="00D50C1B">
      <w:pPr>
        <w:jc w:val="center"/>
        <w:rPr>
          <w:rFonts w:eastAsia="Malgun Gothic"/>
          <w:b/>
          <w:u w:val="single"/>
          <w:lang w:val="de-DE" w:eastAsia="ko-KR"/>
        </w:rPr>
      </w:pPr>
      <w:r>
        <w:rPr>
          <w:rFonts w:eastAsia="Malgun Gothic" w:hint="eastAsia"/>
          <w:b/>
          <w:u w:val="single"/>
          <w:lang w:val="de-DE" w:eastAsia="ko-KR"/>
        </w:rPr>
        <w:t>Hyoungjeen Jeen</w:t>
      </w:r>
      <w:bookmarkStart w:id="0" w:name="_GoBack"/>
      <w:bookmarkEnd w:id="0"/>
    </w:p>
    <w:p w:rsidR="00787145" w:rsidRDefault="00D50C1B" w:rsidP="00411BDE">
      <w:pPr>
        <w:jc w:val="center"/>
        <w:rPr>
          <w:rFonts w:eastAsia="Malgun Gothic"/>
          <w:i/>
          <w:sz w:val="20"/>
          <w:szCs w:val="20"/>
          <w:lang w:eastAsia="ko-KR"/>
        </w:rPr>
      </w:pPr>
      <w:r w:rsidRPr="008D570C">
        <w:rPr>
          <w:rFonts w:eastAsia="ＭＳ 明朝"/>
          <w:i/>
          <w:sz w:val="20"/>
          <w:szCs w:val="20"/>
          <w:lang w:eastAsia="ja-JP"/>
        </w:rPr>
        <w:t>Dep</w:t>
      </w:r>
      <w:r w:rsidRPr="008D570C">
        <w:rPr>
          <w:i/>
          <w:sz w:val="20"/>
          <w:szCs w:val="20"/>
          <w:lang w:eastAsia="ja-JP"/>
        </w:rPr>
        <w:t>artment</w:t>
      </w:r>
      <w:r w:rsidRPr="008D570C">
        <w:rPr>
          <w:i/>
          <w:sz w:val="20"/>
          <w:szCs w:val="20"/>
        </w:rPr>
        <w:t xml:space="preserve"> </w:t>
      </w:r>
      <w:r w:rsidRPr="008D570C">
        <w:rPr>
          <w:rFonts w:eastAsia="ＭＳ 明朝"/>
          <w:i/>
          <w:sz w:val="20"/>
          <w:szCs w:val="20"/>
          <w:lang w:eastAsia="ja-JP"/>
        </w:rPr>
        <w:t xml:space="preserve">of Physics, </w:t>
      </w:r>
      <w:r w:rsidR="00400646">
        <w:rPr>
          <w:rFonts w:eastAsia="Malgun Gothic" w:hint="eastAsia"/>
          <w:i/>
          <w:sz w:val="20"/>
          <w:szCs w:val="20"/>
          <w:lang w:eastAsia="ko-KR"/>
        </w:rPr>
        <w:t xml:space="preserve">Pusan National </w:t>
      </w:r>
      <w:r w:rsidRPr="008D570C">
        <w:rPr>
          <w:rFonts w:eastAsia="ＭＳ 明朝"/>
          <w:i/>
          <w:sz w:val="20"/>
          <w:szCs w:val="20"/>
          <w:lang w:eastAsia="ja-JP"/>
        </w:rPr>
        <w:t xml:space="preserve">University, </w:t>
      </w:r>
      <w:r w:rsidR="00432C31">
        <w:rPr>
          <w:rFonts w:eastAsia="ＭＳ 明朝"/>
          <w:i/>
          <w:sz w:val="20"/>
          <w:szCs w:val="20"/>
          <w:lang w:eastAsia="ja-JP"/>
        </w:rPr>
        <w:t xml:space="preserve">S. </w:t>
      </w:r>
      <w:r w:rsidRPr="00110E9A">
        <w:rPr>
          <w:rFonts w:eastAsia="Malgun Gothic"/>
          <w:i/>
          <w:sz w:val="20"/>
          <w:szCs w:val="20"/>
        </w:rPr>
        <w:t>Korea</w:t>
      </w:r>
    </w:p>
    <w:p w:rsidR="003C0C2C" w:rsidRPr="003C0C2C" w:rsidRDefault="003C0C2C" w:rsidP="00411BDE">
      <w:pPr>
        <w:jc w:val="center"/>
        <w:rPr>
          <w:rFonts w:ascii="Times New Roman" w:hAnsi="Times New Roman" w:cs="Times New Roman"/>
          <w:shd w:val="clear" w:color="auto" w:fill="FFFFFF"/>
          <w:lang w:eastAsia="ko-KR"/>
        </w:rPr>
      </w:pPr>
    </w:p>
    <w:p w:rsidR="00B11BEF" w:rsidRPr="00B11BEF" w:rsidRDefault="00B057A7" w:rsidP="00346F5B">
      <w:pPr>
        <w:pStyle w:val="a4"/>
        <w:widowControl/>
        <w:wordWrap/>
        <w:autoSpaceDE/>
        <w:spacing w:after="200" w:line="360" w:lineRule="auto"/>
        <w:ind w:firstLineChars="150" w:firstLine="271"/>
        <w:rPr>
          <w:rFonts w:ascii="Times New Roman" w:eastAsia="Malgun Gothic" w:hAnsi="Times New Roman" w:cs="Times New Roman"/>
          <w:sz w:val="22"/>
          <w:szCs w:val="22"/>
          <w:lang w:val="en-GB"/>
        </w:rPr>
      </w:pPr>
      <w:r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M</w:t>
      </w:r>
      <w:r w:rsidR="00787145" w:rsidRP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ixed 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ionic </w:t>
      </w:r>
      <w:r w:rsidR="00787145" w:rsidRP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and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electronic conducti</w:t>
      </w:r>
      <w:r w:rsidR="00A25554" w:rsidRP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ng behaviors in </w:t>
      </w:r>
      <w:r w:rsidR="001D645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t</w:t>
      </w:r>
      <w:r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ransition metal oxides (TMO)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have attracted lots of attentions for </w:t>
      </w:r>
      <w:r w:rsidR="004C2465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many 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energy devices such as 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solid oxide fuel cells and electrochemical sensor applications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, where redox reactions</w:t>
      </w:r>
      <w:r w:rsidR="009D4BAE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and catalytic activity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at </w:t>
      </w:r>
      <w:r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the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interface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s</w:t>
      </w:r>
      <w:r w:rsidR="004456B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of 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gas-solid</w:t>
      </w:r>
      <w:r w:rsidR="004C2465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and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solid-liquid 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play critical role</w:t>
      </w:r>
      <w:r w:rsidR="004456B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s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for the 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performance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of such devices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. </w:t>
      </w:r>
      <w:r w:rsidR="00346F5B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Such ionic reactions can also be used for controlling phase in epitaxial complex oxides. 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In this talk, redox reactions in epitaxial </w:t>
      </w:r>
      <w:r w:rsidR="001D645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complex oxides </w:t>
      </w:r>
      <w:r w:rsidR="00346F5B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and resultant physical properties </w:t>
      </w:r>
      <w:r w:rsidR="001D645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will be presented</w:t>
      </w:r>
      <w:r w:rsidR="00286D40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with few model system</w:t>
      </w:r>
      <w:r w:rsidR="001D645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. The first example is reversible redox reaction in 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oxygen sponge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, SrCoO</w:t>
      </w:r>
      <w:r w:rsidR="003C0C2C" w:rsidRPr="003C0C2C">
        <w:rPr>
          <w:rFonts w:ascii="Times New Roman" w:eastAsia="Batang" w:hAnsi="Times New Roman" w:cs="Times New Roman" w:hint="eastAsia"/>
          <w:i/>
          <w:sz w:val="24"/>
          <w:szCs w:val="24"/>
          <w:shd w:val="clear" w:color="auto" w:fill="FFFFFF"/>
          <w:vertAlign w:val="subscript"/>
        </w:rPr>
        <w:t>x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286D40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and Sr(Fe,Co)O</w:t>
      </w:r>
      <w:r w:rsidR="00286D40" w:rsidRPr="00286D40">
        <w:rPr>
          <w:rFonts w:ascii="Times New Roman" w:eastAsia="Batang" w:hAnsi="Times New Roman" w:cs="Times New Roman"/>
          <w:i/>
          <w:sz w:val="24"/>
          <w:szCs w:val="24"/>
          <w:shd w:val="clear" w:color="auto" w:fill="FFFFFF"/>
          <w:vertAlign w:val="subscript"/>
        </w:rPr>
        <w:t>x</w:t>
      </w:r>
      <w:r w:rsidR="00286D40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(2.5 </w:t>
      </w:r>
      <w:r w:rsidR="003C0C2C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≤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3C0C2C" w:rsidRPr="003C0C2C">
        <w:rPr>
          <w:rFonts w:ascii="Times New Roman" w:eastAsia="Batang" w:hAnsi="Times New Roman" w:cs="Times New Roman" w:hint="eastAsia"/>
          <w:i/>
          <w:sz w:val="24"/>
          <w:szCs w:val="24"/>
          <w:shd w:val="clear" w:color="auto" w:fill="FFFFFF"/>
        </w:rPr>
        <w:t>x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3C0C2C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≤</w:t>
      </w:r>
      <w:r w:rsidR="003C0C2C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3.0)</w:t>
      </w:r>
      <w:r w:rsidR="00286D40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</w:t>
      </w:r>
      <w:r w:rsid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at low temperature</w:t>
      </w:r>
      <w:r w:rsidR="001D645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. In this work, </w:t>
      </w:r>
      <w:r w:rsidR="00FC32E3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t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wo </w:t>
      </w:r>
      <w:r w:rsidR="00FC32E3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topotactic </w:t>
      </w:r>
      <w:r w:rsidR="009E2A9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phases</w:t>
      </w:r>
      <w:r w:rsid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such as ferromagnetic metallic perovskite SrCoO</w:t>
      </w:r>
      <w:r w:rsidR="009E2A94" w:rsidRP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  <w:vertAlign w:val="subscript"/>
        </w:rPr>
        <w:t>3</w:t>
      </w:r>
      <w:r w:rsid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and antiferromagnetic insulating brownmillerite SrCoO</w:t>
      </w:r>
      <w:r w:rsidR="009E2A94" w:rsidRP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  <w:vertAlign w:val="subscript"/>
        </w:rPr>
        <w:t>2.5</w:t>
      </w:r>
      <w:r w:rsid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1D645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mediated by oxygen content 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can be reversibly transformed at drastically reduced temperatures (&lt;</w:t>
      </w:r>
      <w:r w:rsidR="00787145" w:rsidRPr="00A2555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2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00 </w:t>
      </w:r>
      <w:r w:rsidR="00611CA7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°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C) in considerably short time</w:t>
      </w:r>
      <w:r w:rsidR="006A08D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.</w:t>
      </w:r>
      <w:r w:rsidR="00787145" w:rsidRPr="00A2555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</w:t>
      </w:r>
      <w:r w:rsidR="00286D40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Scattering-based real-time experiments are used for probing phase transformations. </w:t>
      </w:r>
      <w:r w:rsidR="006A08D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Second example will be about our recent attempt on possible redox-driven phase reversal in 4</w:t>
      </w:r>
      <w:r w:rsidR="006A08D9" w:rsidRPr="006A08D9">
        <w:rPr>
          <w:rFonts w:ascii="Times New Roman" w:eastAsia="Batang" w:hAnsi="Times New Roman" w:cs="Times New Roman" w:hint="eastAsia"/>
          <w:i/>
          <w:sz w:val="24"/>
          <w:szCs w:val="24"/>
          <w:shd w:val="clear" w:color="auto" w:fill="FFFFFF"/>
        </w:rPr>
        <w:t>d</w:t>
      </w:r>
      <w:r w:rsidR="006A08D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binary oxide, MoO</w:t>
      </w:r>
      <w:r w:rsidR="006A08D9" w:rsidRPr="006A08D9">
        <w:rPr>
          <w:rFonts w:ascii="Times New Roman" w:eastAsia="Batang" w:hAnsi="Times New Roman" w:cs="Times New Roman" w:hint="eastAsia"/>
          <w:i/>
          <w:sz w:val="24"/>
          <w:szCs w:val="24"/>
          <w:shd w:val="clear" w:color="auto" w:fill="FFFFFF"/>
          <w:vertAlign w:val="subscript"/>
        </w:rPr>
        <w:t>x</w:t>
      </w:r>
      <w:r w:rsidR="006A08D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(2 </w:t>
      </w:r>
      <w:r w:rsidR="006A08D9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≤</w:t>
      </w:r>
      <w:r w:rsidR="006A08D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6A08D9" w:rsidRPr="003C0C2C">
        <w:rPr>
          <w:rFonts w:ascii="Times New Roman" w:eastAsia="Batang" w:hAnsi="Times New Roman" w:cs="Times New Roman" w:hint="eastAsia"/>
          <w:i/>
          <w:sz w:val="24"/>
          <w:szCs w:val="24"/>
          <w:shd w:val="clear" w:color="auto" w:fill="FFFFFF"/>
        </w:rPr>
        <w:t>x</w:t>
      </w:r>
      <w:r w:rsidR="006A08D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6A08D9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≤</w:t>
      </w:r>
      <w:r w:rsidR="006A08D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3). </w:t>
      </w:r>
      <w:r w:rsid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We observed similar low temperature </w:t>
      </w:r>
      <w:r w:rsidR="009E2A94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oxidation</w:t>
      </w:r>
      <w:r w:rsid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from metallic MoO</w:t>
      </w:r>
      <w:r w:rsidR="009E2A94" w:rsidRP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  <w:vertAlign w:val="subscript"/>
        </w:rPr>
        <w:t>2</w:t>
      </w:r>
      <w:r w:rsid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 xml:space="preserve"> to insulating MoO</w:t>
      </w:r>
      <w:r w:rsidR="009E2A94" w:rsidRP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  <w:vertAlign w:val="subscript"/>
        </w:rPr>
        <w:t>3</w:t>
      </w:r>
      <w:r w:rsidR="009E2A94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. Su</w:t>
      </w:r>
      <w:r w:rsidR="006A08D9">
        <w:rPr>
          <w:rFonts w:ascii="Times New Roman" w:eastAsia="Batang" w:hAnsi="Times New Roman" w:cs="Times New Roman" w:hint="eastAsia"/>
          <w:sz w:val="24"/>
          <w:szCs w:val="24"/>
          <w:shd w:val="clear" w:color="auto" w:fill="FFFFFF"/>
        </w:rPr>
        <w:t>ch redox reactions in expitaxial complex oxides provide useful route for designing fuel cells, sensors, and smart windows.</w:t>
      </w:r>
      <w:r w:rsidR="00286D40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Lastly, if time is available, other research activities including collaborative work</w:t>
      </w:r>
      <w:r w:rsidR="00917729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s</w:t>
      </w:r>
      <w:r w:rsidR="00286D40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with Hokkaido University will be briefly introduced. </w:t>
      </w:r>
    </w:p>
    <w:p w:rsidR="0010171A" w:rsidRPr="00B11BEF" w:rsidRDefault="0010171A" w:rsidP="001D6459">
      <w:pPr>
        <w:pStyle w:val="a4"/>
        <w:widowControl/>
        <w:wordWrap/>
        <w:autoSpaceDE/>
        <w:spacing w:after="200" w:line="360" w:lineRule="auto"/>
        <w:ind w:firstLineChars="150" w:firstLine="300"/>
        <w:rPr>
          <w:lang w:val="en-GB"/>
        </w:rPr>
      </w:pPr>
    </w:p>
    <w:sectPr w:rsidR="0010171A" w:rsidRPr="00B11BEF" w:rsidSect="005B609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E68" w:rsidRDefault="00633E68" w:rsidP="00681DF4">
      <w:pPr>
        <w:spacing w:after="0"/>
      </w:pPr>
      <w:r>
        <w:separator/>
      </w:r>
    </w:p>
  </w:endnote>
  <w:endnote w:type="continuationSeparator" w:id="0">
    <w:p w:rsidR="00633E68" w:rsidRDefault="00633E68" w:rsidP="00681D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E68" w:rsidRDefault="00633E68" w:rsidP="00681DF4">
      <w:pPr>
        <w:spacing w:after="0"/>
      </w:pPr>
      <w:r>
        <w:separator/>
      </w:r>
    </w:p>
  </w:footnote>
  <w:footnote w:type="continuationSeparator" w:id="0">
    <w:p w:rsidR="00633E68" w:rsidRDefault="00633E68" w:rsidP="00681D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E0D"/>
    <w:multiLevelType w:val="hybridMultilevel"/>
    <w:tmpl w:val="542CA5FA"/>
    <w:lvl w:ilvl="0" w:tplc="5FEAFE64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BFD17DA"/>
    <w:multiLevelType w:val="hybridMultilevel"/>
    <w:tmpl w:val="542CA5FA"/>
    <w:lvl w:ilvl="0" w:tplc="5FEAFE64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hysics Reports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rrf295sd5f9bexd0m5f95h2xpe00rdwdvp&quot;&gt;Jeen_ORNL_ThinFilmGrowth2&lt;record-ids&gt;&lt;item&gt;1516&lt;/item&gt;&lt;/record-ids&gt;&lt;/item&gt;&lt;/Libraries&gt;"/>
  </w:docVars>
  <w:rsids>
    <w:rsidRoot w:val="00F011CB"/>
    <w:rsid w:val="00061B0E"/>
    <w:rsid w:val="0008583B"/>
    <w:rsid w:val="000C74EA"/>
    <w:rsid w:val="000F20EE"/>
    <w:rsid w:val="0010171A"/>
    <w:rsid w:val="00107584"/>
    <w:rsid w:val="00125B0B"/>
    <w:rsid w:val="001434E9"/>
    <w:rsid w:val="001D6459"/>
    <w:rsid w:val="00226513"/>
    <w:rsid w:val="00254A29"/>
    <w:rsid w:val="00257B5F"/>
    <w:rsid w:val="00286D40"/>
    <w:rsid w:val="002C6EC1"/>
    <w:rsid w:val="002F0050"/>
    <w:rsid w:val="0034659C"/>
    <w:rsid w:val="00346F5B"/>
    <w:rsid w:val="00370463"/>
    <w:rsid w:val="003C0C2C"/>
    <w:rsid w:val="003D13C4"/>
    <w:rsid w:val="00400646"/>
    <w:rsid w:val="00411BDE"/>
    <w:rsid w:val="00415AFE"/>
    <w:rsid w:val="00432C31"/>
    <w:rsid w:val="004456B4"/>
    <w:rsid w:val="00446D1D"/>
    <w:rsid w:val="004743B8"/>
    <w:rsid w:val="00485C05"/>
    <w:rsid w:val="004B5447"/>
    <w:rsid w:val="004C2465"/>
    <w:rsid w:val="004D47E9"/>
    <w:rsid w:val="004E52B6"/>
    <w:rsid w:val="00521CC6"/>
    <w:rsid w:val="005404BF"/>
    <w:rsid w:val="005647D7"/>
    <w:rsid w:val="005B609C"/>
    <w:rsid w:val="005E1E35"/>
    <w:rsid w:val="00611CA7"/>
    <w:rsid w:val="00633E68"/>
    <w:rsid w:val="00645110"/>
    <w:rsid w:val="00681DF4"/>
    <w:rsid w:val="00696E80"/>
    <w:rsid w:val="006A08D9"/>
    <w:rsid w:val="006B704C"/>
    <w:rsid w:val="006C52D4"/>
    <w:rsid w:val="006E48C0"/>
    <w:rsid w:val="00731D4F"/>
    <w:rsid w:val="00787145"/>
    <w:rsid w:val="007916A1"/>
    <w:rsid w:val="00791B9E"/>
    <w:rsid w:val="008662AB"/>
    <w:rsid w:val="00876E12"/>
    <w:rsid w:val="008D5C42"/>
    <w:rsid w:val="00917729"/>
    <w:rsid w:val="0094734F"/>
    <w:rsid w:val="00966166"/>
    <w:rsid w:val="00980A91"/>
    <w:rsid w:val="009A5927"/>
    <w:rsid w:val="009D4BAE"/>
    <w:rsid w:val="009E0BA6"/>
    <w:rsid w:val="009E2A94"/>
    <w:rsid w:val="009E2E34"/>
    <w:rsid w:val="00A102DB"/>
    <w:rsid w:val="00A14BB9"/>
    <w:rsid w:val="00A25554"/>
    <w:rsid w:val="00A44FFE"/>
    <w:rsid w:val="00A64E2C"/>
    <w:rsid w:val="00AB7A78"/>
    <w:rsid w:val="00AD2646"/>
    <w:rsid w:val="00B057A7"/>
    <w:rsid w:val="00B11BEF"/>
    <w:rsid w:val="00B43F11"/>
    <w:rsid w:val="00BD1BC1"/>
    <w:rsid w:val="00BD5E24"/>
    <w:rsid w:val="00C47B54"/>
    <w:rsid w:val="00C63828"/>
    <w:rsid w:val="00C67B86"/>
    <w:rsid w:val="00CB1DB5"/>
    <w:rsid w:val="00CC1A4E"/>
    <w:rsid w:val="00D11983"/>
    <w:rsid w:val="00D22ED2"/>
    <w:rsid w:val="00D43849"/>
    <w:rsid w:val="00D50C1B"/>
    <w:rsid w:val="00D6236D"/>
    <w:rsid w:val="00D72A5F"/>
    <w:rsid w:val="00D756A3"/>
    <w:rsid w:val="00D84751"/>
    <w:rsid w:val="00DC13F4"/>
    <w:rsid w:val="00DC31EB"/>
    <w:rsid w:val="00E3389B"/>
    <w:rsid w:val="00E646F8"/>
    <w:rsid w:val="00E92A43"/>
    <w:rsid w:val="00E935C2"/>
    <w:rsid w:val="00EB69E7"/>
    <w:rsid w:val="00EF095F"/>
    <w:rsid w:val="00EF50DF"/>
    <w:rsid w:val="00EF6026"/>
    <w:rsid w:val="00F011CB"/>
    <w:rsid w:val="00F20D12"/>
    <w:rsid w:val="00F34F67"/>
    <w:rsid w:val="00F71B3C"/>
    <w:rsid w:val="00F72EAF"/>
    <w:rsid w:val="00FC32E3"/>
    <w:rsid w:val="00FC6B3B"/>
    <w:rsid w:val="00FE49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377BBD9-0F4B-478F-BEAC-4C429321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0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uiPriority w:val="99"/>
    <w:semiHidden/>
    <w:unhideWhenUsed/>
    <w:rsid w:val="006C52D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a0"/>
    <w:link w:val="a3"/>
    <w:uiPriority w:val="99"/>
    <w:semiHidden/>
    <w:rsid w:val="006C52D4"/>
    <w:rPr>
      <w:rFonts w:ascii="Lucida Grande" w:hAnsi="Lucida Grande"/>
      <w:sz w:val="18"/>
      <w:szCs w:val="18"/>
    </w:rPr>
  </w:style>
  <w:style w:type="paragraph" w:styleId="Web">
    <w:name w:val="Normal (Web)"/>
    <w:basedOn w:val="a"/>
    <w:uiPriority w:val="99"/>
    <w:unhideWhenUsed/>
    <w:rsid w:val="00D50C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a4">
    <w:name w:val="바탕글"/>
    <w:basedOn w:val="a"/>
    <w:link w:val="Char"/>
    <w:rsid w:val="00D50C1B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styleId="a5">
    <w:name w:val="header"/>
    <w:basedOn w:val="a"/>
    <w:link w:val="HeaderChar"/>
    <w:uiPriority w:val="99"/>
    <w:unhideWhenUsed/>
    <w:rsid w:val="00681DF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a0"/>
    <w:link w:val="a5"/>
    <w:uiPriority w:val="99"/>
    <w:rsid w:val="00681DF4"/>
    <w:rPr>
      <w:sz w:val="24"/>
      <w:szCs w:val="24"/>
    </w:rPr>
  </w:style>
  <w:style w:type="paragraph" w:styleId="a6">
    <w:name w:val="footer"/>
    <w:basedOn w:val="a"/>
    <w:link w:val="FooterChar"/>
    <w:uiPriority w:val="99"/>
    <w:unhideWhenUsed/>
    <w:rsid w:val="00681DF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a0"/>
    <w:link w:val="a6"/>
    <w:uiPriority w:val="99"/>
    <w:rsid w:val="00681DF4"/>
    <w:rPr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10171A"/>
    <w:pPr>
      <w:spacing w:after="0"/>
      <w:jc w:val="center"/>
    </w:pPr>
    <w:rPr>
      <w:rFonts w:ascii="Cambria" w:hAnsi="Cambria"/>
      <w:noProof/>
      <w:sz w:val="22"/>
    </w:rPr>
  </w:style>
  <w:style w:type="character" w:customStyle="1" w:styleId="Char">
    <w:name w:val="바탕글 Char"/>
    <w:basedOn w:val="a0"/>
    <w:link w:val="a4"/>
    <w:rsid w:val="0010171A"/>
    <w:rPr>
      <w:rFonts w:ascii="Gulim" w:eastAsia="Gulim" w:hAnsi="Gulim" w:cs="Gulim"/>
      <w:color w:val="000000"/>
      <w:shd w:val="clear" w:color="auto" w:fill="FFFFFF"/>
      <w:lang w:eastAsia="ko-KR"/>
    </w:rPr>
  </w:style>
  <w:style w:type="character" w:customStyle="1" w:styleId="EndNoteBibliographyTitleChar">
    <w:name w:val="EndNote Bibliography Title Char"/>
    <w:basedOn w:val="Char"/>
    <w:link w:val="EndNoteBibliographyTitle"/>
    <w:rsid w:val="0010171A"/>
    <w:rPr>
      <w:rFonts w:ascii="Cambria" w:eastAsia="Gulim" w:hAnsi="Cambria" w:cs="Gulim"/>
      <w:noProof/>
      <w:color w:val="000000"/>
      <w:sz w:val="22"/>
      <w:szCs w:val="24"/>
      <w:shd w:val="clear" w:color="auto" w:fill="FFFFFF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10171A"/>
    <w:rPr>
      <w:rFonts w:ascii="Cambria" w:hAnsi="Cambria"/>
      <w:noProof/>
      <w:sz w:val="22"/>
    </w:rPr>
  </w:style>
  <w:style w:type="character" w:customStyle="1" w:styleId="EndNoteBibliographyChar">
    <w:name w:val="EndNote Bibliography Char"/>
    <w:basedOn w:val="Char"/>
    <w:link w:val="EndNoteBibliography"/>
    <w:rsid w:val="0010171A"/>
    <w:rPr>
      <w:rFonts w:ascii="Cambria" w:eastAsia="Gulim" w:hAnsi="Cambria" w:cs="Gulim"/>
      <w:noProof/>
      <w:color w:val="000000"/>
      <w:sz w:val="22"/>
      <w:szCs w:val="24"/>
      <w:shd w:val="clear" w:color="auto" w:fill="FFFFFF"/>
      <w:lang w:eastAsia="ko-KR"/>
    </w:rPr>
  </w:style>
  <w:style w:type="paragraph" w:customStyle="1" w:styleId="Paragraph">
    <w:name w:val="Paragraph"/>
    <w:basedOn w:val="a"/>
    <w:uiPriority w:val="99"/>
    <w:rsid w:val="00B11BEF"/>
    <w:pPr>
      <w:spacing w:before="120" w:after="0"/>
      <w:ind w:firstLine="720"/>
    </w:pPr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LBNL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今村逸子</cp:lastModifiedBy>
  <cp:revision>2</cp:revision>
  <cp:lastPrinted>2016-04-28T05:16:00Z</cp:lastPrinted>
  <dcterms:created xsi:type="dcterms:W3CDTF">2018-12-10T07:27:00Z</dcterms:created>
  <dcterms:modified xsi:type="dcterms:W3CDTF">2018-12-10T07:27:00Z</dcterms:modified>
</cp:coreProperties>
</file>